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5220C238" w:rsidR="007B3D90" w:rsidRPr="004F0907" w:rsidRDefault="009D15B6" w:rsidP="007B3D90">
      <w:pPr>
        <w:pStyle w:val="CRCoverPage"/>
        <w:tabs>
          <w:tab w:val="right" w:pos="9639"/>
        </w:tabs>
        <w:spacing w:after="0"/>
        <w:rPr>
          <w:b/>
          <w:i/>
          <w:noProof/>
          <w:sz w:val="28"/>
          <w:lang w:val="en-US"/>
        </w:rPr>
      </w:pPr>
      <w:r>
        <w:rPr>
          <w:b/>
          <w:noProof/>
          <w:sz w:val="24"/>
        </w:rPr>
        <w:t>3GPP TSG-RAN WG4 Meeting #91</w:t>
      </w:r>
      <w:r w:rsidR="007B3D90">
        <w:rPr>
          <w:b/>
          <w:i/>
          <w:noProof/>
          <w:sz w:val="24"/>
        </w:rPr>
        <w:t xml:space="preserve"> </w:t>
      </w:r>
      <w:r w:rsidR="007B3D90">
        <w:rPr>
          <w:b/>
          <w:i/>
          <w:noProof/>
          <w:sz w:val="28"/>
        </w:rPr>
        <w:tab/>
      </w:r>
      <w:r w:rsidR="00BB12B5" w:rsidRPr="00BB12B5">
        <w:rPr>
          <w:b/>
          <w:i/>
          <w:noProof/>
          <w:sz w:val="28"/>
        </w:rPr>
        <w:t>R4-1905919</w:t>
      </w:r>
    </w:p>
    <w:p w14:paraId="2FAB4793" w14:textId="657CEEE2" w:rsidR="007B3D90" w:rsidRDefault="009D15B6" w:rsidP="007B3D90">
      <w:pPr>
        <w:tabs>
          <w:tab w:val="left" w:pos="1985"/>
        </w:tabs>
        <w:rPr>
          <w:rFonts w:ascii="Arial" w:hAnsi="Arial" w:cs="Arial"/>
          <w:b/>
          <w:noProof/>
          <w:sz w:val="24"/>
        </w:rPr>
      </w:pPr>
      <w:r>
        <w:rPr>
          <w:rFonts w:ascii="Arial" w:hAnsi="Arial" w:cs="Arial"/>
          <w:b/>
          <w:noProof/>
          <w:sz w:val="24"/>
        </w:rPr>
        <w:t>Reno</w:t>
      </w:r>
      <w:r w:rsidR="007B3D90" w:rsidRPr="00706FBB">
        <w:rPr>
          <w:rFonts w:ascii="Arial" w:hAnsi="Arial" w:cs="Arial"/>
          <w:b/>
          <w:noProof/>
          <w:sz w:val="24"/>
        </w:rPr>
        <w:t xml:space="preserve">, </w:t>
      </w:r>
      <w:r>
        <w:rPr>
          <w:rFonts w:ascii="Arial" w:hAnsi="Arial" w:cs="Arial"/>
          <w:b/>
          <w:noProof/>
          <w:sz w:val="24"/>
        </w:rPr>
        <w:t>USA</w:t>
      </w:r>
      <w:r w:rsidR="007B3D90">
        <w:rPr>
          <w:rFonts w:ascii="Arial" w:hAnsi="Arial" w:cs="Arial"/>
          <w:b/>
          <w:noProof/>
          <w:sz w:val="24"/>
        </w:rPr>
        <w:t xml:space="preserve">, </w:t>
      </w:r>
      <w:r>
        <w:rPr>
          <w:rFonts w:ascii="Arial" w:hAnsi="Arial" w:cs="Arial"/>
          <w:b/>
          <w:noProof/>
          <w:sz w:val="24"/>
        </w:rPr>
        <w:t>13</w:t>
      </w:r>
      <w:r w:rsidR="007B3D90">
        <w:rPr>
          <w:rFonts w:ascii="Arial" w:hAnsi="Arial" w:cs="Arial"/>
          <w:b/>
          <w:noProof/>
          <w:sz w:val="24"/>
        </w:rPr>
        <w:t xml:space="preserve"> – </w:t>
      </w:r>
      <w:r w:rsidR="00752534">
        <w:rPr>
          <w:rFonts w:ascii="Arial" w:hAnsi="Arial" w:cs="Arial"/>
          <w:b/>
          <w:noProof/>
          <w:sz w:val="24"/>
        </w:rPr>
        <w:t>1</w:t>
      </w:r>
      <w:r>
        <w:rPr>
          <w:rFonts w:ascii="Arial" w:hAnsi="Arial" w:cs="Arial"/>
          <w:b/>
          <w:noProof/>
          <w:sz w:val="24"/>
        </w:rPr>
        <w:t>7</w:t>
      </w:r>
      <w:r w:rsidR="00BC36D7" w:rsidRPr="00BC36D7">
        <w:rPr>
          <w:rFonts w:ascii="Arial" w:hAnsi="Arial" w:cs="Arial"/>
          <w:b/>
          <w:noProof/>
          <w:sz w:val="24"/>
        </w:rPr>
        <w:t xml:space="preserve"> </w:t>
      </w:r>
      <w:r>
        <w:rPr>
          <w:rFonts w:ascii="Arial" w:hAnsi="Arial" w:cs="Arial"/>
          <w:b/>
          <w:noProof/>
          <w:sz w:val="24"/>
        </w:rPr>
        <w:t>May</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72E566B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474C0" w:rsidRPr="0091755B">
        <w:rPr>
          <w:rFonts w:ascii="Arial" w:hAnsi="Arial" w:cs="Arial"/>
          <w:b/>
          <w:sz w:val="24"/>
        </w:rPr>
        <w:t>8.3.2</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1F4522AC"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9D15B6" w:rsidRPr="009D15B6">
        <w:rPr>
          <w:rFonts w:ascii="Arial" w:hAnsi="Arial" w:cs="Arial"/>
          <w:b/>
          <w:sz w:val="24"/>
        </w:rPr>
        <w:t>Further discussion on applicability of handover with simultaneous Tx/Rx</w:t>
      </w:r>
      <w:r w:rsidR="008F118D">
        <w:rPr>
          <w:rFonts w:ascii="Arial" w:hAnsi="Arial" w:cs="Arial"/>
          <w:b/>
          <w:sz w:val="24"/>
        </w:rPr>
        <w:t xml:space="preserve"> </w:t>
      </w:r>
    </w:p>
    <w:p w14:paraId="6253CE02" w14:textId="77777777" w:rsidR="00983BC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2A649F61" w14:textId="77777777" w:rsidR="00326FA4" w:rsidRDefault="00326FA4" w:rsidP="00983BC4">
      <w:pPr>
        <w:tabs>
          <w:tab w:val="left" w:pos="1985"/>
        </w:tabs>
        <w:spacing w:before="0"/>
        <w:ind w:left="1983" w:hangingChars="823" w:hanging="1983"/>
        <w:jc w:val="both"/>
        <w:rPr>
          <w:rFonts w:ascii="Arial" w:hAnsi="Arial" w:cs="Arial"/>
          <w:b/>
          <w:sz w:val="24"/>
        </w:rPr>
      </w:pP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1C9FE713" w14:textId="7B1EAC92" w:rsidR="00603C90" w:rsidRDefault="004617E7" w:rsidP="005D2062">
      <w:pPr>
        <w:jc w:val="both"/>
        <w:rPr>
          <w:lang w:val="en-US" w:eastAsia="zh-CN"/>
        </w:rPr>
      </w:pPr>
      <w:r>
        <w:rPr>
          <w:lang w:val="en-US" w:eastAsia="zh-CN"/>
        </w:rPr>
        <w:t>In last RAN4 #90bis, RAN4 discussed widely about the feasibility of handover with simultaneous Tx/Rx with source and target cells</w:t>
      </w:r>
      <w:r w:rsidR="00603C90">
        <w:rPr>
          <w:lang w:val="en-US" w:eastAsia="zh-CN"/>
        </w:rPr>
        <w:t>.</w:t>
      </w:r>
      <w:r w:rsidR="003B7E14">
        <w:rPr>
          <w:lang w:val="en-US" w:eastAsia="zh-CN"/>
        </w:rPr>
        <w:t xml:space="preserve"> The agreements were captured in the LS to RAN2 [1], where RAN4 confirmed the feasibility on conditions that:</w:t>
      </w:r>
    </w:p>
    <w:p w14:paraId="7D750F67" w14:textId="65DDE5E8" w:rsidR="003B7E14" w:rsidRDefault="003B7E14" w:rsidP="003B7E14">
      <w:pPr>
        <w:pStyle w:val="ListParagraph"/>
        <w:numPr>
          <w:ilvl w:val="0"/>
          <w:numId w:val="23"/>
        </w:numPr>
        <w:jc w:val="both"/>
        <w:rPr>
          <w:rFonts w:ascii="Times New Roman" w:hAnsi="Times New Roman"/>
          <w:lang w:eastAsia="zh-CN"/>
        </w:rPr>
      </w:pPr>
      <w:r w:rsidRPr="003B7E14">
        <w:rPr>
          <w:rFonts w:ascii="Times New Roman" w:hAnsi="Times New Roman"/>
          <w:lang w:eastAsia="zh-CN"/>
        </w:rPr>
        <w:t>SCS is the s</w:t>
      </w:r>
      <w:r>
        <w:rPr>
          <w:rFonts w:ascii="Times New Roman" w:hAnsi="Times New Roman"/>
          <w:lang w:eastAsia="zh-CN"/>
        </w:rPr>
        <w:t>ame</w:t>
      </w:r>
      <w:r w:rsidRPr="003B7E14">
        <w:t xml:space="preserve"> </w:t>
      </w:r>
      <w:r w:rsidRPr="003B7E14">
        <w:rPr>
          <w:rFonts w:ascii="Times New Roman" w:hAnsi="Times New Roman"/>
          <w:lang w:eastAsia="zh-CN"/>
        </w:rPr>
        <w:t>in both source and target cells</w:t>
      </w:r>
      <w:r>
        <w:rPr>
          <w:rFonts w:ascii="Times New Roman" w:hAnsi="Times New Roman"/>
          <w:lang w:eastAsia="zh-CN"/>
        </w:rPr>
        <w:t>, and</w:t>
      </w:r>
    </w:p>
    <w:p w14:paraId="0CD9AA82" w14:textId="5CBF22D7" w:rsidR="003B7E14" w:rsidRDefault="003B7E14" w:rsidP="003B7E14">
      <w:pPr>
        <w:pStyle w:val="ListParagraph"/>
        <w:numPr>
          <w:ilvl w:val="0"/>
          <w:numId w:val="23"/>
        </w:numPr>
        <w:jc w:val="both"/>
        <w:rPr>
          <w:rFonts w:ascii="Times New Roman" w:hAnsi="Times New Roman"/>
          <w:lang w:eastAsia="zh-CN"/>
        </w:rPr>
      </w:pPr>
      <w:r>
        <w:rPr>
          <w:rFonts w:ascii="Times New Roman" w:hAnsi="Times New Roman"/>
          <w:lang w:eastAsia="zh-CN"/>
        </w:rPr>
        <w:t>UL waveform is the same</w:t>
      </w:r>
      <w:r w:rsidRPr="003B7E14">
        <w:t xml:space="preserve"> </w:t>
      </w:r>
      <w:r w:rsidRPr="003B7E14">
        <w:rPr>
          <w:rFonts w:ascii="Times New Roman" w:hAnsi="Times New Roman"/>
          <w:lang w:eastAsia="zh-CN"/>
        </w:rPr>
        <w:t>in both source and target cells</w:t>
      </w:r>
      <w:r>
        <w:rPr>
          <w:rFonts w:ascii="Times New Roman" w:hAnsi="Times New Roman"/>
          <w:lang w:eastAsia="zh-CN"/>
        </w:rPr>
        <w:t>, and</w:t>
      </w:r>
    </w:p>
    <w:p w14:paraId="3317083D" w14:textId="6865D629" w:rsidR="003B7E14" w:rsidRDefault="003B7E14" w:rsidP="003B7E14">
      <w:pPr>
        <w:pStyle w:val="ListParagraph"/>
        <w:numPr>
          <w:ilvl w:val="0"/>
          <w:numId w:val="23"/>
        </w:numPr>
        <w:jc w:val="both"/>
        <w:rPr>
          <w:rFonts w:ascii="Times New Roman" w:hAnsi="Times New Roman"/>
          <w:lang w:eastAsia="zh-CN"/>
        </w:rPr>
      </w:pPr>
      <w:r>
        <w:rPr>
          <w:rFonts w:ascii="Times New Roman" w:hAnsi="Times New Roman"/>
          <w:lang w:eastAsia="zh-CN"/>
        </w:rPr>
        <w:t>Both cells are in FR1</w:t>
      </w:r>
    </w:p>
    <w:p w14:paraId="25D5E0B3" w14:textId="3DE6900E" w:rsidR="003B7E14" w:rsidRDefault="003B7E14" w:rsidP="003B7E14">
      <w:pPr>
        <w:jc w:val="both"/>
        <w:rPr>
          <w:lang w:eastAsia="zh-CN"/>
        </w:rPr>
      </w:pPr>
      <w:r>
        <w:rPr>
          <w:lang w:eastAsia="zh-CN"/>
        </w:rPr>
        <w:t>Note that above are only specific conditions for NR DC-based handover. There are also other conditions which apply for both NR and LTE DC-based handover, as captured in [2].</w:t>
      </w:r>
    </w:p>
    <w:p w14:paraId="6AA230F9" w14:textId="2334DFC7" w:rsidR="006518E3" w:rsidRPr="003B7E14" w:rsidRDefault="006518E3" w:rsidP="003B7E14">
      <w:pPr>
        <w:jc w:val="both"/>
        <w:rPr>
          <w:lang w:eastAsia="zh-CN"/>
        </w:rPr>
      </w:pPr>
      <w:r>
        <w:rPr>
          <w:lang w:eastAsia="zh-CN"/>
        </w:rPr>
        <w:t>In this contribution we will further discuss the feasibility where the above conditions are not met.</w:t>
      </w:r>
    </w:p>
    <w:p w14:paraId="4E2BBCBE" w14:textId="420E197D" w:rsidR="00FC5641" w:rsidRDefault="00387B6B" w:rsidP="00B85BD7">
      <w:pPr>
        <w:pStyle w:val="Heading1"/>
        <w:ind w:left="360"/>
        <w:rPr>
          <w:sz w:val="32"/>
        </w:rPr>
      </w:pPr>
      <w:r>
        <w:rPr>
          <w:sz w:val="32"/>
        </w:rPr>
        <w:t>Discussion</w:t>
      </w:r>
    </w:p>
    <w:p w14:paraId="5C2508D8" w14:textId="05B39D04" w:rsidR="00262585" w:rsidRDefault="00262585" w:rsidP="00262585">
      <w:pPr>
        <w:pStyle w:val="Heading2"/>
        <w:ind w:left="630"/>
      </w:pPr>
      <w:bookmarkStart w:id="3" w:name="OLE_LINK2"/>
      <w:bookmarkStart w:id="4" w:name="OLE_LINK3"/>
      <w:r>
        <w:t>DC-based handover involving UE Rx/Tx beamforming in FR2</w:t>
      </w:r>
    </w:p>
    <w:bookmarkEnd w:id="3"/>
    <w:bookmarkEnd w:id="4"/>
    <w:p w14:paraId="3E799FB2" w14:textId="6A033A07" w:rsidR="006518E3" w:rsidRDefault="00262585" w:rsidP="004416AE">
      <w:pPr>
        <w:rPr>
          <w:lang w:eastAsia="zh-CN"/>
        </w:rPr>
      </w:pPr>
      <w:r>
        <w:rPr>
          <w:lang w:eastAsia="zh-CN"/>
        </w:rPr>
        <w:t>Regarding DC-based handover involving UE Rx/Tx beamforming in FR2, the latest agreement in RAN4 RRM in Xi’an meeting was:</w:t>
      </w:r>
    </w:p>
    <w:p w14:paraId="3EF67CD5" w14:textId="111FC888" w:rsidR="00F20289" w:rsidRPr="00F20289" w:rsidRDefault="00F20289" w:rsidP="00F20289">
      <w:pPr>
        <w:pStyle w:val="ListParagraph"/>
        <w:numPr>
          <w:ilvl w:val="0"/>
          <w:numId w:val="24"/>
        </w:numPr>
        <w:rPr>
          <w:sz w:val="20"/>
          <w:szCs w:val="20"/>
          <w:lang w:eastAsia="zh-CN"/>
        </w:rPr>
      </w:pPr>
      <w:r w:rsidRPr="00F20289">
        <w:rPr>
          <w:rFonts w:ascii="Arial" w:hAnsi="Arial" w:cs="Arial"/>
          <w:sz w:val="20"/>
          <w:szCs w:val="20"/>
        </w:rPr>
        <w:t>Handover with simultaneous transmission/reception with source and target cells in FR2 is not feasible</w:t>
      </w:r>
    </w:p>
    <w:p w14:paraId="5AF057AA" w14:textId="393A5521" w:rsidR="006518E3" w:rsidRDefault="00F20289" w:rsidP="004416AE">
      <w:pPr>
        <w:rPr>
          <w:lang w:eastAsia="zh-CN"/>
        </w:rPr>
      </w:pPr>
      <w:r>
        <w:rPr>
          <w:lang w:eastAsia="zh-CN"/>
        </w:rPr>
        <w:t>The reason behind is that we don’t assume UE can hold multiple Tx/Rx beam simultaneously at this stage.</w:t>
      </w:r>
      <w:r w:rsidR="008F55FF">
        <w:rPr>
          <w:lang w:eastAsia="zh-CN"/>
        </w:rPr>
        <w:t xml:space="preserve"> However, feasibility of DC-based handover from FR1 to FR2 and from FR2 to FR1 was not extensively studied. </w:t>
      </w:r>
      <w:r w:rsidR="00E45171">
        <w:rPr>
          <w:lang w:eastAsia="zh-CN"/>
        </w:rPr>
        <w:t xml:space="preserve">In our understanding, it is feasible for DC-based handover from one frequency range to the other one. The assumption here is that we assume UE has separate RF chain for each frequency range. Doing beam sweeping in FR2 shall not have much impact on business in FR1. One example is for NR-DC capable UE, UE needs to maintain connectivity with serving cells in both FR1 and FR2 simultaneously. </w:t>
      </w:r>
      <w:r w:rsidR="00F2457B">
        <w:rPr>
          <w:lang w:eastAsia="zh-CN"/>
        </w:rPr>
        <w:t xml:space="preserve">The handover procedure is similar </w:t>
      </w:r>
      <w:r w:rsidR="009922C4">
        <w:rPr>
          <w:lang w:eastAsia="zh-CN"/>
        </w:rPr>
        <w:t xml:space="preserve">with </w:t>
      </w:r>
      <w:r w:rsidR="00F2457B">
        <w:rPr>
          <w:lang w:eastAsia="zh-CN"/>
        </w:rPr>
        <w:t xml:space="preserve">the PSCell addition procedure. In RAN4 RRM we define PSCell addition delay </w:t>
      </w:r>
      <w:r w:rsidR="009922C4">
        <w:rPr>
          <w:lang w:eastAsia="zh-CN"/>
        </w:rPr>
        <w:t>in our core requirement. Note that during PSCell addition delay UE still needs to stay in connection with PCell.</w:t>
      </w:r>
    </w:p>
    <w:p w14:paraId="3786042A" w14:textId="60E68E37" w:rsidR="00B563B3" w:rsidRPr="00AC3569" w:rsidRDefault="00B563B3" w:rsidP="00B563B3">
      <w:pPr>
        <w:pStyle w:val="Caption"/>
        <w:rPr>
          <w:sz w:val="20"/>
        </w:rPr>
      </w:pPr>
      <w:bookmarkStart w:id="5" w:name="_Ref7689586"/>
      <w:r w:rsidRPr="00AC3569">
        <w:rPr>
          <w:sz w:val="20"/>
        </w:rPr>
        <w:t xml:space="preserve">Observation </w:t>
      </w:r>
      <w:r w:rsidRPr="00AC3569">
        <w:rPr>
          <w:sz w:val="20"/>
        </w:rPr>
        <w:fldChar w:fldCharType="begin"/>
      </w:r>
      <w:r w:rsidRPr="00AC3569">
        <w:rPr>
          <w:sz w:val="20"/>
        </w:rPr>
        <w:instrText xml:space="preserve"> SEQ Observation \* ARABIC </w:instrText>
      </w:r>
      <w:r w:rsidRPr="00AC3569">
        <w:rPr>
          <w:sz w:val="20"/>
        </w:rPr>
        <w:fldChar w:fldCharType="separate"/>
      </w:r>
      <w:r w:rsidRPr="00AC3569">
        <w:rPr>
          <w:noProof/>
          <w:sz w:val="20"/>
        </w:rPr>
        <w:t>1</w:t>
      </w:r>
      <w:r w:rsidRPr="00AC3569">
        <w:rPr>
          <w:sz w:val="20"/>
        </w:rPr>
        <w:fldChar w:fldCharType="end"/>
      </w:r>
      <w:r w:rsidRPr="00AC3569">
        <w:rPr>
          <w:sz w:val="20"/>
        </w:rPr>
        <w:t>: NR-DC capable UE can maintain simultaneous Rx/Tx with serving cells in both FR1 and FR2.</w:t>
      </w:r>
      <w:bookmarkEnd w:id="5"/>
    </w:p>
    <w:p w14:paraId="13CAA9F3" w14:textId="31FCC52D" w:rsidR="00B563B3" w:rsidRPr="00AC3569" w:rsidRDefault="00B563B3" w:rsidP="00B563B3">
      <w:pPr>
        <w:pStyle w:val="Caption"/>
        <w:rPr>
          <w:sz w:val="20"/>
        </w:rPr>
      </w:pPr>
      <w:bookmarkStart w:id="6" w:name="_Ref7689591"/>
      <w:r w:rsidRPr="00AC3569">
        <w:rPr>
          <w:sz w:val="20"/>
        </w:rPr>
        <w:t xml:space="preserve">Proposal </w:t>
      </w:r>
      <w:r w:rsidRPr="00AC3569">
        <w:rPr>
          <w:sz w:val="20"/>
        </w:rPr>
        <w:fldChar w:fldCharType="begin"/>
      </w:r>
      <w:r w:rsidRPr="00AC3569">
        <w:rPr>
          <w:sz w:val="20"/>
        </w:rPr>
        <w:instrText xml:space="preserve"> SEQ Proposal \* ARABIC </w:instrText>
      </w:r>
      <w:r w:rsidRPr="00AC3569">
        <w:rPr>
          <w:sz w:val="20"/>
        </w:rPr>
        <w:fldChar w:fldCharType="separate"/>
      </w:r>
      <w:r w:rsidR="005F6A76">
        <w:rPr>
          <w:noProof/>
          <w:sz w:val="20"/>
        </w:rPr>
        <w:t>1</w:t>
      </w:r>
      <w:r w:rsidRPr="00AC3569">
        <w:rPr>
          <w:sz w:val="20"/>
        </w:rPr>
        <w:fldChar w:fldCharType="end"/>
      </w:r>
      <w:r w:rsidRPr="00AC3569">
        <w:rPr>
          <w:sz w:val="20"/>
        </w:rPr>
        <w:t xml:space="preserve">: Handover from one frequency range to </w:t>
      </w:r>
      <w:r w:rsidR="00E3439F">
        <w:rPr>
          <w:sz w:val="20"/>
        </w:rPr>
        <w:t>another</w:t>
      </w:r>
      <w:r w:rsidRPr="00AC3569">
        <w:rPr>
          <w:sz w:val="20"/>
        </w:rPr>
        <w:t xml:space="preserve"> with simultaneous Rx/Tx is feasible.</w:t>
      </w:r>
      <w:bookmarkEnd w:id="6"/>
    </w:p>
    <w:p w14:paraId="515FF318" w14:textId="77777777" w:rsidR="006518E3" w:rsidRDefault="006518E3" w:rsidP="004416AE">
      <w:pPr>
        <w:rPr>
          <w:lang w:eastAsia="zh-CN"/>
        </w:rPr>
      </w:pPr>
    </w:p>
    <w:p w14:paraId="61230C24" w14:textId="6A3B98E2" w:rsidR="008F11D4" w:rsidRDefault="008F11D4" w:rsidP="008F11D4">
      <w:pPr>
        <w:pStyle w:val="Heading2"/>
        <w:ind w:left="630"/>
      </w:pPr>
      <w:r>
        <w:t>DC-based handover involving different SCS</w:t>
      </w:r>
    </w:p>
    <w:p w14:paraId="430EB5A2" w14:textId="77777777" w:rsidR="00A32ABB" w:rsidRDefault="00A32ABB" w:rsidP="004416AE">
      <w:pPr>
        <w:rPr>
          <w:lang w:eastAsia="zh-CN"/>
        </w:rPr>
      </w:pPr>
      <w:r>
        <w:rPr>
          <w:lang w:eastAsia="zh-CN"/>
        </w:rPr>
        <w:t>Another difference between DC-based handover in LTE and NR is that in NR UE may face different SCS in source and target cells. Currently in TS38.306 there are quite a lot of UE capabilities on supporting different SCS in different channel/RS, among which the following ones can be considered to extend to cover target cell as well: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113F" w:rsidRPr="00C13E9E" w14:paraId="5BBE523E" w14:textId="77777777" w:rsidTr="00BF7D3D">
        <w:trPr>
          <w:cantSplit/>
          <w:tblHeader/>
        </w:trPr>
        <w:tc>
          <w:tcPr>
            <w:tcW w:w="6917" w:type="dxa"/>
          </w:tcPr>
          <w:p w14:paraId="599BC5DB" w14:textId="77777777" w:rsidR="00CC113F" w:rsidRPr="00C13E9E" w:rsidRDefault="00CC113F" w:rsidP="00BF7D3D">
            <w:pPr>
              <w:keepNext/>
              <w:keepLines/>
              <w:spacing w:after="0"/>
              <w:rPr>
                <w:rFonts w:ascii="Arial" w:hAnsi="Arial"/>
                <w:b/>
                <w:i/>
                <w:sz w:val="18"/>
              </w:rPr>
            </w:pPr>
            <w:r w:rsidRPr="00C13E9E">
              <w:rPr>
                <w:rFonts w:ascii="Arial" w:hAnsi="Arial"/>
                <w:b/>
                <w:i/>
                <w:sz w:val="18"/>
              </w:rPr>
              <w:lastRenderedPageBreak/>
              <w:t>supportedSubCarrierSpacingDL</w:t>
            </w:r>
          </w:p>
          <w:p w14:paraId="480253C6" w14:textId="77777777" w:rsidR="00CC113F" w:rsidRPr="00C13E9E" w:rsidRDefault="00CC113F" w:rsidP="00BF7D3D">
            <w:pPr>
              <w:keepNext/>
              <w:keepLines/>
              <w:spacing w:after="0"/>
              <w:rPr>
                <w:rFonts w:ascii="Arial" w:hAnsi="Arial"/>
                <w:b/>
                <w:sz w:val="18"/>
              </w:rPr>
            </w:pPr>
            <w:r w:rsidRPr="00C13E9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C54BE61" w14:textId="77777777" w:rsidR="00CC113F" w:rsidRPr="00C13E9E" w:rsidRDefault="00CC113F" w:rsidP="00BF7D3D">
            <w:pPr>
              <w:keepNext/>
              <w:keepLines/>
              <w:spacing w:after="0"/>
              <w:jc w:val="center"/>
              <w:rPr>
                <w:rFonts w:ascii="Arial" w:hAnsi="Arial"/>
                <w:b/>
                <w:sz w:val="18"/>
              </w:rPr>
            </w:pPr>
            <w:r w:rsidRPr="00C13E9E">
              <w:rPr>
                <w:rFonts w:ascii="Arial" w:hAnsi="Arial"/>
                <w:sz w:val="18"/>
              </w:rPr>
              <w:t>FSPC</w:t>
            </w:r>
          </w:p>
        </w:tc>
        <w:tc>
          <w:tcPr>
            <w:tcW w:w="567" w:type="dxa"/>
          </w:tcPr>
          <w:p w14:paraId="7A1854D8" w14:textId="77777777" w:rsidR="00CC113F" w:rsidRPr="00C13E9E" w:rsidRDefault="00CC113F" w:rsidP="00BF7D3D">
            <w:pPr>
              <w:keepNext/>
              <w:keepLines/>
              <w:spacing w:after="0"/>
              <w:jc w:val="center"/>
              <w:rPr>
                <w:rFonts w:ascii="Arial" w:hAnsi="Arial"/>
                <w:b/>
                <w:sz w:val="18"/>
              </w:rPr>
            </w:pPr>
            <w:r w:rsidRPr="00C13E9E">
              <w:rPr>
                <w:rFonts w:ascii="Arial" w:hAnsi="Arial"/>
                <w:sz w:val="18"/>
              </w:rPr>
              <w:t>CY</w:t>
            </w:r>
          </w:p>
        </w:tc>
        <w:tc>
          <w:tcPr>
            <w:tcW w:w="709" w:type="dxa"/>
          </w:tcPr>
          <w:p w14:paraId="127BD8DC" w14:textId="77777777" w:rsidR="00CC113F" w:rsidRPr="00C13E9E" w:rsidRDefault="00CC113F" w:rsidP="00BF7D3D">
            <w:pPr>
              <w:keepNext/>
              <w:keepLines/>
              <w:spacing w:after="0"/>
              <w:jc w:val="center"/>
              <w:rPr>
                <w:rFonts w:ascii="Arial" w:hAnsi="Arial"/>
                <w:b/>
                <w:sz w:val="18"/>
              </w:rPr>
            </w:pPr>
            <w:r w:rsidRPr="00C13E9E">
              <w:rPr>
                <w:rFonts w:ascii="Arial" w:hAnsi="Arial"/>
                <w:sz w:val="18"/>
              </w:rPr>
              <w:t>No</w:t>
            </w:r>
          </w:p>
        </w:tc>
        <w:tc>
          <w:tcPr>
            <w:tcW w:w="728" w:type="dxa"/>
          </w:tcPr>
          <w:p w14:paraId="343B2319" w14:textId="77777777" w:rsidR="00CC113F" w:rsidRPr="00C13E9E" w:rsidRDefault="00CC113F" w:rsidP="00BF7D3D">
            <w:pPr>
              <w:keepNext/>
              <w:keepLines/>
              <w:spacing w:after="0"/>
              <w:jc w:val="center"/>
              <w:rPr>
                <w:rFonts w:ascii="Arial" w:hAnsi="Arial"/>
                <w:sz w:val="18"/>
              </w:rPr>
            </w:pPr>
            <w:r w:rsidRPr="00C13E9E">
              <w:rPr>
                <w:rFonts w:ascii="Arial" w:hAnsi="Arial"/>
                <w:sz w:val="18"/>
              </w:rPr>
              <w:t>No</w:t>
            </w:r>
          </w:p>
        </w:tc>
      </w:tr>
      <w:tr w:rsidR="00CC113F" w:rsidRPr="00C13E9E" w14:paraId="2CA176ED" w14:textId="77777777" w:rsidTr="00BF7D3D">
        <w:trPr>
          <w:cantSplit/>
          <w:tblHeader/>
        </w:trPr>
        <w:tc>
          <w:tcPr>
            <w:tcW w:w="6917" w:type="dxa"/>
          </w:tcPr>
          <w:p w14:paraId="38A6D6FD" w14:textId="77777777" w:rsidR="00CC113F" w:rsidRPr="00C13E9E" w:rsidRDefault="00CC113F" w:rsidP="00BF7D3D">
            <w:pPr>
              <w:pStyle w:val="TAL"/>
              <w:rPr>
                <w:b/>
                <w:i/>
              </w:rPr>
            </w:pPr>
            <w:r w:rsidRPr="00C13E9E">
              <w:rPr>
                <w:b/>
                <w:i/>
              </w:rPr>
              <w:t>supportedSubCarrierSpacingUL</w:t>
            </w:r>
          </w:p>
          <w:p w14:paraId="73927A67" w14:textId="77777777" w:rsidR="00CC113F" w:rsidRPr="00C13E9E" w:rsidRDefault="00CC113F" w:rsidP="00BF7D3D">
            <w:pPr>
              <w:pStyle w:val="TAL"/>
            </w:pPr>
            <w:r w:rsidRPr="00C13E9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56EC118" w14:textId="77777777" w:rsidR="00CC113F" w:rsidRPr="00C13E9E" w:rsidRDefault="00CC113F" w:rsidP="00BF7D3D">
            <w:pPr>
              <w:pStyle w:val="TAL"/>
              <w:jc w:val="center"/>
            </w:pPr>
            <w:r w:rsidRPr="00C13E9E">
              <w:t>FSPC</w:t>
            </w:r>
          </w:p>
        </w:tc>
        <w:tc>
          <w:tcPr>
            <w:tcW w:w="567" w:type="dxa"/>
          </w:tcPr>
          <w:p w14:paraId="14F2A357" w14:textId="77777777" w:rsidR="00CC113F" w:rsidRPr="00C13E9E" w:rsidRDefault="00CC113F" w:rsidP="00BF7D3D">
            <w:pPr>
              <w:pStyle w:val="TAL"/>
              <w:jc w:val="center"/>
            </w:pPr>
            <w:r w:rsidRPr="00C13E9E">
              <w:t>CY</w:t>
            </w:r>
          </w:p>
        </w:tc>
        <w:tc>
          <w:tcPr>
            <w:tcW w:w="709" w:type="dxa"/>
          </w:tcPr>
          <w:p w14:paraId="3B71107B" w14:textId="77777777" w:rsidR="00CC113F" w:rsidRPr="00C13E9E" w:rsidRDefault="00CC113F" w:rsidP="00BF7D3D">
            <w:pPr>
              <w:pStyle w:val="TAL"/>
              <w:jc w:val="center"/>
            </w:pPr>
            <w:r w:rsidRPr="00C13E9E">
              <w:t>No</w:t>
            </w:r>
          </w:p>
        </w:tc>
        <w:tc>
          <w:tcPr>
            <w:tcW w:w="728" w:type="dxa"/>
          </w:tcPr>
          <w:p w14:paraId="7B920A48" w14:textId="77777777" w:rsidR="00CC113F" w:rsidRPr="00C13E9E" w:rsidRDefault="00CC113F" w:rsidP="00BF7D3D">
            <w:pPr>
              <w:pStyle w:val="TAL"/>
              <w:jc w:val="center"/>
            </w:pPr>
            <w:r w:rsidRPr="00C13E9E">
              <w:t>No</w:t>
            </w:r>
          </w:p>
        </w:tc>
      </w:tr>
    </w:tbl>
    <w:p w14:paraId="429BFBBE" w14:textId="7BD5D100" w:rsidR="00A96988" w:rsidRDefault="005F6A76" w:rsidP="004416AE">
      <w:pPr>
        <w:rPr>
          <w:lang w:eastAsia="zh-CN"/>
        </w:rPr>
      </w:pPr>
      <w:r>
        <w:rPr>
          <w:lang w:eastAsia="zh-CN"/>
        </w:rPr>
        <w:t xml:space="preserve">A straightforward example is NR CA or NR-DC, the capability of CA and DC is reported per band combination. On top of this, UE also reports </w:t>
      </w:r>
      <w:r w:rsidRPr="005F6A76">
        <w:rPr>
          <w:i/>
          <w:lang w:eastAsia="zh-CN"/>
        </w:rPr>
        <w:t>supportedSubCarrierSpacingDL</w:t>
      </w:r>
      <w:r>
        <w:rPr>
          <w:lang w:eastAsia="zh-CN"/>
        </w:rPr>
        <w:t xml:space="preserve"> and</w:t>
      </w:r>
      <w:r w:rsidRPr="005F6A76">
        <w:t xml:space="preserve"> </w:t>
      </w:r>
      <w:r w:rsidRPr="005F6A76">
        <w:rPr>
          <w:i/>
          <w:lang w:eastAsia="zh-CN"/>
        </w:rPr>
        <w:t>supportedSubCarrierSpacingUL</w:t>
      </w:r>
      <w:r>
        <w:rPr>
          <w:lang w:eastAsia="zh-CN"/>
        </w:rPr>
        <w:t xml:space="preserve"> per band combination. Therefore, these two capabilities can be extended to cover handover with simultaneous Tx/Rx as well.</w:t>
      </w:r>
    </w:p>
    <w:p w14:paraId="54BFEE2D" w14:textId="418D8E29" w:rsidR="005F6A76" w:rsidRPr="005F6A76" w:rsidRDefault="005F6A76" w:rsidP="005F6A76">
      <w:pPr>
        <w:pStyle w:val="Caption"/>
        <w:rPr>
          <w:sz w:val="20"/>
          <w:lang w:eastAsia="zh-CN"/>
        </w:rPr>
      </w:pPr>
      <w:bookmarkStart w:id="7" w:name="_Ref7689593"/>
      <w:r w:rsidRPr="005F6A76">
        <w:rPr>
          <w:sz w:val="20"/>
        </w:rPr>
        <w:t xml:space="preserve">Proposal </w:t>
      </w:r>
      <w:r w:rsidRPr="005F6A76">
        <w:rPr>
          <w:sz w:val="20"/>
        </w:rPr>
        <w:fldChar w:fldCharType="begin"/>
      </w:r>
      <w:r w:rsidRPr="005F6A76">
        <w:rPr>
          <w:sz w:val="20"/>
        </w:rPr>
        <w:instrText xml:space="preserve"> SEQ Proposal \* ARABIC </w:instrText>
      </w:r>
      <w:r w:rsidRPr="005F6A76">
        <w:rPr>
          <w:sz w:val="20"/>
        </w:rPr>
        <w:fldChar w:fldCharType="separate"/>
      </w:r>
      <w:r w:rsidRPr="005F6A76">
        <w:rPr>
          <w:noProof/>
          <w:sz w:val="20"/>
        </w:rPr>
        <w:t>2</w:t>
      </w:r>
      <w:r w:rsidRPr="005F6A76">
        <w:rPr>
          <w:sz w:val="20"/>
        </w:rPr>
        <w:fldChar w:fldCharType="end"/>
      </w:r>
      <w:r w:rsidRPr="005F6A76">
        <w:rPr>
          <w:sz w:val="20"/>
        </w:rPr>
        <w:t xml:space="preserve">: handover with simultaneous Tx and Rx with both source and target cells involving different SCS is feasible depending on UE capability. Existing UE capability of </w:t>
      </w:r>
      <w:r w:rsidRPr="005F6A76">
        <w:rPr>
          <w:i/>
          <w:sz w:val="20"/>
          <w:lang w:eastAsia="zh-CN"/>
        </w:rPr>
        <w:t>supportedSubCarrierSpacingDL</w:t>
      </w:r>
      <w:r w:rsidRPr="005F6A76">
        <w:rPr>
          <w:sz w:val="20"/>
          <w:lang w:eastAsia="zh-CN"/>
        </w:rPr>
        <w:t xml:space="preserve"> and</w:t>
      </w:r>
      <w:r w:rsidRPr="005F6A76">
        <w:rPr>
          <w:sz w:val="20"/>
        </w:rPr>
        <w:t xml:space="preserve"> </w:t>
      </w:r>
      <w:r w:rsidRPr="005F6A76">
        <w:rPr>
          <w:i/>
          <w:sz w:val="20"/>
          <w:lang w:eastAsia="zh-CN"/>
        </w:rPr>
        <w:t>supportedSubCarrierSpacingUL</w:t>
      </w:r>
      <w:r w:rsidRPr="005F6A76">
        <w:rPr>
          <w:sz w:val="20"/>
          <w:lang w:eastAsia="zh-CN"/>
        </w:rPr>
        <w:t xml:space="preserve"> can be extended to cover this.</w:t>
      </w:r>
      <w:bookmarkEnd w:id="7"/>
    </w:p>
    <w:p w14:paraId="427727A6" w14:textId="02A6FBFE" w:rsidR="00D05F59" w:rsidRPr="00A137D5" w:rsidRDefault="00004361" w:rsidP="00782D8F">
      <w:pPr>
        <w:pStyle w:val="Heading1"/>
        <w:ind w:left="567" w:hanging="567"/>
        <w:rPr>
          <w:sz w:val="32"/>
        </w:rPr>
      </w:pPr>
      <w:r w:rsidRPr="00A137D5">
        <w:rPr>
          <w:sz w:val="32"/>
        </w:rPr>
        <w:t>Conclusion</w:t>
      </w:r>
    </w:p>
    <w:p w14:paraId="7747A6F2" w14:textId="5B7C14B1" w:rsidR="00400588" w:rsidRDefault="0016225C" w:rsidP="00FB4C04">
      <w:pPr>
        <w:rPr>
          <w:lang w:eastAsia="zh-CN"/>
        </w:rPr>
      </w:pPr>
      <w:r>
        <w:rPr>
          <w:lang w:eastAsia="zh-CN"/>
        </w:rPr>
        <w:t>I</w:t>
      </w:r>
      <w:r>
        <w:rPr>
          <w:rFonts w:hint="eastAsia"/>
          <w:lang w:eastAsia="zh-CN"/>
        </w:rPr>
        <w:t>n</w:t>
      </w:r>
      <w:r>
        <w:rPr>
          <w:lang w:eastAsia="zh-CN"/>
        </w:rPr>
        <w:t xml:space="preserve"> this contribution, </w:t>
      </w:r>
      <w:r w:rsidR="00A67629">
        <w:rPr>
          <w:lang w:eastAsia="zh-CN"/>
        </w:rPr>
        <w:t xml:space="preserve">we discuss the </w:t>
      </w:r>
      <w:r w:rsidR="003B1378">
        <w:rPr>
          <w:lang w:eastAsia="zh-CN"/>
        </w:rPr>
        <w:t>feasibility of</w:t>
      </w:r>
      <w:r w:rsidR="00A67629">
        <w:rPr>
          <w:lang w:eastAsia="zh-CN"/>
        </w:rPr>
        <w:t xml:space="preserve"> DC-based handover. After discussion the following conclusions are made:</w:t>
      </w:r>
    </w:p>
    <w:p w14:paraId="4232A617" w14:textId="45326B9A" w:rsidR="003B1378" w:rsidRPr="003B1378" w:rsidRDefault="003B1378" w:rsidP="00FB4C04">
      <w:pPr>
        <w:rPr>
          <w:b/>
          <w:lang w:eastAsia="zh-CN"/>
        </w:rPr>
      </w:pPr>
      <w:r w:rsidRPr="003B1378">
        <w:rPr>
          <w:b/>
          <w:lang w:eastAsia="zh-CN"/>
        </w:rPr>
        <w:fldChar w:fldCharType="begin"/>
      </w:r>
      <w:r w:rsidRPr="003B1378">
        <w:rPr>
          <w:b/>
          <w:lang w:eastAsia="zh-CN"/>
        </w:rPr>
        <w:instrText xml:space="preserve"> REF _Ref7689586 \h </w:instrText>
      </w:r>
      <w:r>
        <w:rPr>
          <w:b/>
          <w:lang w:eastAsia="zh-CN"/>
        </w:rPr>
        <w:instrText xml:space="preserve"> \* MERGEFORMAT </w:instrText>
      </w:r>
      <w:r w:rsidRPr="003B1378">
        <w:rPr>
          <w:b/>
          <w:lang w:eastAsia="zh-CN"/>
        </w:rPr>
      </w:r>
      <w:r w:rsidRPr="003B1378">
        <w:rPr>
          <w:b/>
          <w:lang w:eastAsia="zh-CN"/>
        </w:rPr>
        <w:fldChar w:fldCharType="separate"/>
      </w:r>
      <w:r w:rsidRPr="003B1378">
        <w:rPr>
          <w:b/>
        </w:rPr>
        <w:t xml:space="preserve">Observation </w:t>
      </w:r>
      <w:r w:rsidRPr="003B1378">
        <w:rPr>
          <w:b/>
          <w:noProof/>
        </w:rPr>
        <w:t>1</w:t>
      </w:r>
      <w:r w:rsidRPr="003B1378">
        <w:rPr>
          <w:b/>
        </w:rPr>
        <w:t>: NR-DC capable UE can maintain simultaneous Rx/Tx with serving cells in both FR1 and FR2.</w:t>
      </w:r>
      <w:r w:rsidRPr="003B1378">
        <w:rPr>
          <w:b/>
          <w:lang w:eastAsia="zh-CN"/>
        </w:rPr>
        <w:fldChar w:fldCharType="end"/>
      </w:r>
    </w:p>
    <w:p w14:paraId="7CE3449F" w14:textId="3A56BE66" w:rsidR="003B1378" w:rsidRPr="003B1378" w:rsidRDefault="003B1378" w:rsidP="00FB4C04">
      <w:pPr>
        <w:rPr>
          <w:b/>
          <w:lang w:eastAsia="zh-CN"/>
        </w:rPr>
      </w:pPr>
      <w:r w:rsidRPr="003B1378">
        <w:rPr>
          <w:b/>
          <w:lang w:eastAsia="zh-CN"/>
        </w:rPr>
        <w:fldChar w:fldCharType="begin"/>
      </w:r>
      <w:r w:rsidRPr="003B1378">
        <w:rPr>
          <w:b/>
          <w:lang w:eastAsia="zh-CN"/>
        </w:rPr>
        <w:instrText xml:space="preserve"> REF _Ref7689591 \h </w:instrText>
      </w:r>
      <w:r>
        <w:rPr>
          <w:b/>
          <w:lang w:eastAsia="zh-CN"/>
        </w:rPr>
        <w:instrText xml:space="preserve"> \* MERGEFORMAT </w:instrText>
      </w:r>
      <w:r w:rsidRPr="003B1378">
        <w:rPr>
          <w:b/>
          <w:lang w:eastAsia="zh-CN"/>
        </w:rPr>
      </w:r>
      <w:r w:rsidRPr="003B1378">
        <w:rPr>
          <w:b/>
          <w:lang w:eastAsia="zh-CN"/>
        </w:rPr>
        <w:fldChar w:fldCharType="separate"/>
      </w:r>
      <w:r w:rsidR="000F5F52" w:rsidRPr="000F5F52">
        <w:rPr>
          <w:b/>
        </w:rPr>
        <w:t xml:space="preserve">Proposal </w:t>
      </w:r>
      <w:r w:rsidR="000F5F52" w:rsidRPr="000F5F52">
        <w:rPr>
          <w:b/>
          <w:noProof/>
        </w:rPr>
        <w:t>1</w:t>
      </w:r>
      <w:r w:rsidR="000F5F52" w:rsidRPr="000F5F52">
        <w:rPr>
          <w:b/>
        </w:rPr>
        <w:t>: Handover from one frequency range to another with simultaneous Rx/Tx is feasible.</w:t>
      </w:r>
      <w:r w:rsidRPr="003B1378">
        <w:rPr>
          <w:b/>
          <w:lang w:eastAsia="zh-CN"/>
        </w:rPr>
        <w:fldChar w:fldCharType="end"/>
      </w:r>
    </w:p>
    <w:p w14:paraId="189A7871" w14:textId="2CD32586" w:rsidR="003B1378" w:rsidRPr="003B1378" w:rsidRDefault="003B1378" w:rsidP="00FB4C04">
      <w:pPr>
        <w:rPr>
          <w:b/>
          <w:lang w:eastAsia="zh-CN"/>
        </w:rPr>
      </w:pPr>
      <w:r w:rsidRPr="003B1378">
        <w:rPr>
          <w:b/>
          <w:lang w:eastAsia="zh-CN"/>
        </w:rPr>
        <w:fldChar w:fldCharType="begin"/>
      </w:r>
      <w:r w:rsidRPr="003B1378">
        <w:rPr>
          <w:b/>
          <w:lang w:eastAsia="zh-CN"/>
        </w:rPr>
        <w:instrText xml:space="preserve"> REF _Ref7689593 \h </w:instrText>
      </w:r>
      <w:r>
        <w:rPr>
          <w:b/>
          <w:lang w:eastAsia="zh-CN"/>
        </w:rPr>
        <w:instrText xml:space="preserve"> \* MERGEFORMAT </w:instrText>
      </w:r>
      <w:r w:rsidRPr="003B1378">
        <w:rPr>
          <w:b/>
          <w:lang w:eastAsia="zh-CN"/>
        </w:rPr>
      </w:r>
      <w:r w:rsidRPr="003B1378">
        <w:rPr>
          <w:b/>
          <w:lang w:eastAsia="zh-CN"/>
        </w:rPr>
        <w:fldChar w:fldCharType="separate"/>
      </w:r>
      <w:r w:rsidRPr="003B1378">
        <w:rPr>
          <w:b/>
        </w:rPr>
        <w:t xml:space="preserve">Proposal </w:t>
      </w:r>
      <w:r w:rsidRPr="003B1378">
        <w:rPr>
          <w:b/>
          <w:noProof/>
        </w:rPr>
        <w:t>2</w:t>
      </w:r>
      <w:r w:rsidRPr="003B1378">
        <w:rPr>
          <w:b/>
        </w:rPr>
        <w:t xml:space="preserve">: handover with simultaneous Tx and Rx with both source and target cells involving different SCS is feasible depending on UE capability. Existing UE capability of </w:t>
      </w:r>
      <w:r w:rsidRPr="003B1378">
        <w:rPr>
          <w:b/>
          <w:i/>
          <w:lang w:eastAsia="zh-CN"/>
        </w:rPr>
        <w:t>supportedSubCarrierSpacingDL</w:t>
      </w:r>
      <w:r w:rsidRPr="003B1378">
        <w:rPr>
          <w:b/>
          <w:lang w:eastAsia="zh-CN"/>
        </w:rPr>
        <w:t xml:space="preserve"> and</w:t>
      </w:r>
      <w:r w:rsidRPr="003B1378">
        <w:rPr>
          <w:b/>
        </w:rPr>
        <w:t xml:space="preserve"> </w:t>
      </w:r>
      <w:r w:rsidRPr="003B1378">
        <w:rPr>
          <w:b/>
          <w:i/>
          <w:lang w:eastAsia="zh-CN"/>
        </w:rPr>
        <w:t>supportedSubCarrierSpacingUL</w:t>
      </w:r>
      <w:r w:rsidRPr="003B1378">
        <w:rPr>
          <w:b/>
          <w:lang w:eastAsia="zh-CN"/>
        </w:rPr>
        <w:t xml:space="preserve"> can be extended to cover this.</w:t>
      </w:r>
      <w:r w:rsidRPr="003B1378">
        <w:rPr>
          <w:b/>
          <w:lang w:eastAsia="zh-CN"/>
        </w:rPr>
        <w:fldChar w:fldCharType="end"/>
      </w:r>
    </w:p>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5B13AB65" w:rsidR="00D42CC6" w:rsidRDefault="004617E7" w:rsidP="004617E7">
      <w:pPr>
        <w:pStyle w:val="ListParagraph"/>
        <w:numPr>
          <w:ilvl w:val="0"/>
          <w:numId w:val="8"/>
        </w:numPr>
        <w:rPr>
          <w:rFonts w:ascii="Times New Roman" w:hAnsi="Times New Roman"/>
          <w:sz w:val="20"/>
          <w:szCs w:val="20"/>
        </w:rPr>
      </w:pPr>
      <w:r w:rsidRPr="004617E7">
        <w:rPr>
          <w:rFonts w:ascii="Times New Roman" w:hAnsi="Times New Roman"/>
          <w:sz w:val="20"/>
          <w:szCs w:val="20"/>
        </w:rPr>
        <w:t>R4-1904826</w:t>
      </w:r>
      <w:r>
        <w:rPr>
          <w:rFonts w:ascii="Times New Roman" w:hAnsi="Times New Roman"/>
          <w:sz w:val="20"/>
          <w:szCs w:val="20"/>
        </w:rPr>
        <w:t xml:space="preserve">, </w:t>
      </w:r>
      <w:r w:rsidRPr="004617E7">
        <w:rPr>
          <w:rFonts w:ascii="Times New Roman" w:hAnsi="Times New Roman"/>
          <w:sz w:val="20"/>
          <w:szCs w:val="20"/>
        </w:rPr>
        <w:t>Reply LS on NR mobility enhancement</w:t>
      </w:r>
      <w:r>
        <w:rPr>
          <w:rFonts w:ascii="Times New Roman" w:hAnsi="Times New Roman"/>
          <w:sz w:val="20"/>
          <w:szCs w:val="20"/>
        </w:rPr>
        <w:t>, Intel</w:t>
      </w:r>
    </w:p>
    <w:p w14:paraId="774C30E3" w14:textId="77777777" w:rsidR="003B7E14" w:rsidRDefault="003B7E14" w:rsidP="003B7E14">
      <w:pPr>
        <w:pStyle w:val="ListParagraph"/>
        <w:numPr>
          <w:ilvl w:val="0"/>
          <w:numId w:val="8"/>
        </w:numPr>
        <w:rPr>
          <w:rFonts w:ascii="Times New Roman" w:hAnsi="Times New Roman"/>
          <w:sz w:val="20"/>
          <w:szCs w:val="20"/>
        </w:rPr>
      </w:pPr>
      <w:r w:rsidRPr="00C7000E">
        <w:rPr>
          <w:rFonts w:ascii="Times New Roman" w:hAnsi="Times New Roman"/>
          <w:sz w:val="20"/>
          <w:szCs w:val="20"/>
        </w:rPr>
        <w:t>R4-1902030</w:t>
      </w:r>
      <w:r>
        <w:rPr>
          <w:rFonts w:ascii="Times New Roman" w:hAnsi="Times New Roman"/>
          <w:sz w:val="20"/>
          <w:szCs w:val="20"/>
        </w:rPr>
        <w:t xml:space="preserve">, </w:t>
      </w:r>
      <w:r w:rsidRPr="00C7000E">
        <w:rPr>
          <w:rFonts w:ascii="Times New Roman" w:hAnsi="Times New Roman"/>
          <w:sz w:val="20"/>
          <w:szCs w:val="20"/>
        </w:rPr>
        <w:t>Reply LS on the interruption time during mobility in LTE</w:t>
      </w:r>
      <w:r>
        <w:rPr>
          <w:rFonts w:ascii="Times New Roman" w:hAnsi="Times New Roman"/>
          <w:sz w:val="20"/>
          <w:szCs w:val="20"/>
        </w:rPr>
        <w:t>, Huawei, HiSilicon</w:t>
      </w:r>
    </w:p>
    <w:p w14:paraId="513142A0" w14:textId="77777777" w:rsidR="003B7E14" w:rsidRPr="003B1378" w:rsidRDefault="003B7E14" w:rsidP="003B1378">
      <w:pPr>
        <w:ind w:left="360"/>
      </w:pPr>
    </w:p>
    <w:p w14:paraId="39B892EF" w14:textId="470AB75F" w:rsidR="007F24CB" w:rsidRDefault="007F24CB" w:rsidP="006D474C"/>
    <w:p w14:paraId="1AA4E40E" w14:textId="77777777" w:rsidR="00632E75" w:rsidRDefault="00632E75" w:rsidP="006D474C"/>
    <w:p w14:paraId="160F5269" w14:textId="77777777" w:rsidR="00563E4F" w:rsidRDefault="00563E4F" w:rsidP="006D474C"/>
    <w:p w14:paraId="263709FE" w14:textId="77777777" w:rsidR="00563E4F" w:rsidRPr="006D474C" w:rsidRDefault="00563E4F" w:rsidP="006D474C"/>
    <w:sectPr w:rsidR="00563E4F" w:rsidRPr="006D474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5022F" w14:textId="77777777" w:rsidR="001C32D8" w:rsidRDefault="001C32D8">
      <w:r>
        <w:separator/>
      </w:r>
    </w:p>
  </w:endnote>
  <w:endnote w:type="continuationSeparator" w:id="0">
    <w:p w14:paraId="3B5E5D5F" w14:textId="77777777" w:rsidR="001C32D8" w:rsidRDefault="001C32D8">
      <w:r>
        <w:continuationSeparator/>
      </w:r>
    </w:p>
  </w:endnote>
  <w:endnote w:type="continuationNotice" w:id="1">
    <w:p w14:paraId="24F805BB" w14:textId="77777777" w:rsidR="001C32D8" w:rsidRDefault="001C32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905F6C" w:rsidRDefault="00905F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905F6C" w:rsidRDefault="00905F6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905F6C" w:rsidRPr="00DB1239" w:rsidRDefault="00905F6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BB12B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2B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88308" w14:textId="77777777" w:rsidR="001C32D8" w:rsidRDefault="001C32D8">
      <w:r>
        <w:separator/>
      </w:r>
    </w:p>
  </w:footnote>
  <w:footnote w:type="continuationSeparator" w:id="0">
    <w:p w14:paraId="7A01C303" w14:textId="77777777" w:rsidR="001C32D8" w:rsidRDefault="001C32D8">
      <w:r>
        <w:continuationSeparator/>
      </w:r>
    </w:p>
  </w:footnote>
  <w:footnote w:type="continuationNotice" w:id="1">
    <w:p w14:paraId="023DDE3E" w14:textId="77777777" w:rsidR="001C32D8" w:rsidRDefault="001C32D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905F6C" w:rsidRDefault="00905F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D5C8A"/>
    <w:multiLevelType w:val="hybridMultilevel"/>
    <w:tmpl w:val="DD325A40"/>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E257DE"/>
    <w:multiLevelType w:val="hybridMultilevel"/>
    <w:tmpl w:val="73EEDB7C"/>
    <w:lvl w:ilvl="0" w:tplc="AE8220E2">
      <w:start w:val="1"/>
      <w:numFmt w:val="bullet"/>
      <w:lvlText w:val=""/>
      <w:lvlJc w:val="left"/>
      <w:pPr>
        <w:tabs>
          <w:tab w:val="num" w:pos="720"/>
        </w:tabs>
        <w:ind w:left="720" w:hanging="360"/>
      </w:pPr>
      <w:rPr>
        <w:rFonts w:ascii="Wingdings" w:hAnsi="Wingdings" w:hint="default"/>
      </w:rPr>
    </w:lvl>
    <w:lvl w:ilvl="1" w:tplc="E5C68D06">
      <w:start w:val="174"/>
      <w:numFmt w:val="bullet"/>
      <w:lvlText w:val="•"/>
      <w:lvlJc w:val="left"/>
      <w:pPr>
        <w:tabs>
          <w:tab w:val="num" w:pos="1440"/>
        </w:tabs>
        <w:ind w:left="1440" w:hanging="360"/>
      </w:pPr>
      <w:rPr>
        <w:rFonts w:ascii="Arial" w:hAnsi="Arial" w:hint="default"/>
      </w:rPr>
    </w:lvl>
    <w:lvl w:ilvl="2" w:tplc="7FB85E5E">
      <w:start w:val="174"/>
      <w:numFmt w:val="bullet"/>
      <w:lvlText w:val="•"/>
      <w:lvlJc w:val="left"/>
      <w:pPr>
        <w:tabs>
          <w:tab w:val="num" w:pos="2160"/>
        </w:tabs>
        <w:ind w:left="2160" w:hanging="360"/>
      </w:pPr>
      <w:rPr>
        <w:rFonts w:ascii="Arial" w:hAnsi="Arial" w:hint="default"/>
      </w:rPr>
    </w:lvl>
    <w:lvl w:ilvl="3" w:tplc="CCF2E446" w:tentative="1">
      <w:start w:val="1"/>
      <w:numFmt w:val="bullet"/>
      <w:lvlText w:val=""/>
      <w:lvlJc w:val="left"/>
      <w:pPr>
        <w:tabs>
          <w:tab w:val="num" w:pos="2880"/>
        </w:tabs>
        <w:ind w:left="2880" w:hanging="360"/>
      </w:pPr>
      <w:rPr>
        <w:rFonts w:ascii="Wingdings" w:hAnsi="Wingdings" w:hint="default"/>
      </w:rPr>
    </w:lvl>
    <w:lvl w:ilvl="4" w:tplc="E92A85FA" w:tentative="1">
      <w:start w:val="1"/>
      <w:numFmt w:val="bullet"/>
      <w:lvlText w:val=""/>
      <w:lvlJc w:val="left"/>
      <w:pPr>
        <w:tabs>
          <w:tab w:val="num" w:pos="3600"/>
        </w:tabs>
        <w:ind w:left="3600" w:hanging="360"/>
      </w:pPr>
      <w:rPr>
        <w:rFonts w:ascii="Wingdings" w:hAnsi="Wingdings" w:hint="default"/>
      </w:rPr>
    </w:lvl>
    <w:lvl w:ilvl="5" w:tplc="46B2B224" w:tentative="1">
      <w:start w:val="1"/>
      <w:numFmt w:val="bullet"/>
      <w:lvlText w:val=""/>
      <w:lvlJc w:val="left"/>
      <w:pPr>
        <w:tabs>
          <w:tab w:val="num" w:pos="4320"/>
        </w:tabs>
        <w:ind w:left="4320" w:hanging="360"/>
      </w:pPr>
      <w:rPr>
        <w:rFonts w:ascii="Wingdings" w:hAnsi="Wingdings" w:hint="default"/>
      </w:rPr>
    </w:lvl>
    <w:lvl w:ilvl="6" w:tplc="93E2C124" w:tentative="1">
      <w:start w:val="1"/>
      <w:numFmt w:val="bullet"/>
      <w:lvlText w:val=""/>
      <w:lvlJc w:val="left"/>
      <w:pPr>
        <w:tabs>
          <w:tab w:val="num" w:pos="5040"/>
        </w:tabs>
        <w:ind w:left="5040" w:hanging="360"/>
      </w:pPr>
      <w:rPr>
        <w:rFonts w:ascii="Wingdings" w:hAnsi="Wingdings" w:hint="default"/>
      </w:rPr>
    </w:lvl>
    <w:lvl w:ilvl="7" w:tplc="20B8A47A" w:tentative="1">
      <w:start w:val="1"/>
      <w:numFmt w:val="bullet"/>
      <w:lvlText w:val=""/>
      <w:lvlJc w:val="left"/>
      <w:pPr>
        <w:tabs>
          <w:tab w:val="num" w:pos="5760"/>
        </w:tabs>
        <w:ind w:left="5760" w:hanging="360"/>
      </w:pPr>
      <w:rPr>
        <w:rFonts w:ascii="Wingdings" w:hAnsi="Wingdings" w:hint="default"/>
      </w:rPr>
    </w:lvl>
    <w:lvl w:ilvl="8" w:tplc="83FAAB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50242"/>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5FB86C4D"/>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235750"/>
    <w:multiLevelType w:val="hybridMultilevel"/>
    <w:tmpl w:val="B17C60E4"/>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2"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3"/>
  </w:num>
  <w:num w:numId="4">
    <w:abstractNumId w:val="1"/>
  </w:num>
  <w:num w:numId="5">
    <w:abstractNumId w:val="24"/>
  </w:num>
  <w:num w:numId="6">
    <w:abstractNumId w:val="6"/>
  </w:num>
  <w:num w:numId="7">
    <w:abstractNumId w:val="4"/>
  </w:num>
  <w:num w:numId="8">
    <w:abstractNumId w:val="15"/>
  </w:num>
  <w:num w:numId="9">
    <w:abstractNumId w:val="23"/>
  </w:num>
  <w:num w:numId="10">
    <w:abstractNumId w:val="5"/>
  </w:num>
  <w:num w:numId="11">
    <w:abstractNumId w:val="18"/>
  </w:num>
  <w:num w:numId="12">
    <w:abstractNumId w:val="11"/>
  </w:num>
  <w:num w:numId="13">
    <w:abstractNumId w:val="19"/>
  </w:num>
  <w:num w:numId="14">
    <w:abstractNumId w:val="7"/>
  </w:num>
  <w:num w:numId="15">
    <w:abstractNumId w:val="14"/>
  </w:num>
  <w:num w:numId="16">
    <w:abstractNumId w:val="8"/>
  </w:num>
  <w:num w:numId="17">
    <w:abstractNumId w:val="2"/>
  </w:num>
  <w:num w:numId="18">
    <w:abstractNumId w:val="22"/>
  </w:num>
  <w:num w:numId="19">
    <w:abstractNumId w:val="16"/>
  </w:num>
  <w:num w:numId="20">
    <w:abstractNumId w:val="9"/>
  </w:num>
  <w:num w:numId="21">
    <w:abstractNumId w:val="20"/>
  </w:num>
  <w:num w:numId="22">
    <w:abstractNumId w:val="17"/>
  </w:num>
  <w:num w:numId="23">
    <w:abstractNumId w:val="21"/>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773"/>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5F2"/>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5F0F"/>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52"/>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5EE0"/>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6F80"/>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2D8"/>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C97"/>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01"/>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08"/>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585"/>
    <w:rsid w:val="00262979"/>
    <w:rsid w:val="00262A27"/>
    <w:rsid w:val="00262BAD"/>
    <w:rsid w:val="00262CEB"/>
    <w:rsid w:val="00262E69"/>
    <w:rsid w:val="00263038"/>
    <w:rsid w:val="00263807"/>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A60"/>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497"/>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542"/>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BA5"/>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67D4C"/>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16D"/>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04B"/>
    <w:rsid w:val="003842A8"/>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378"/>
    <w:rsid w:val="003B14B8"/>
    <w:rsid w:val="003B1575"/>
    <w:rsid w:val="003B188F"/>
    <w:rsid w:val="003B1CC2"/>
    <w:rsid w:val="003B21B1"/>
    <w:rsid w:val="003B2B79"/>
    <w:rsid w:val="003B31F9"/>
    <w:rsid w:val="003B41F7"/>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B7E14"/>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8C0"/>
    <w:rsid w:val="003C79A4"/>
    <w:rsid w:val="003C7D16"/>
    <w:rsid w:val="003D04E9"/>
    <w:rsid w:val="003D09DA"/>
    <w:rsid w:val="003D0A97"/>
    <w:rsid w:val="003D0D75"/>
    <w:rsid w:val="003D0E68"/>
    <w:rsid w:val="003D1147"/>
    <w:rsid w:val="003D124C"/>
    <w:rsid w:val="003D1693"/>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571"/>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B66"/>
    <w:rsid w:val="003F7DFF"/>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AB4"/>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1DEF"/>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7E7"/>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0FD"/>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012"/>
    <w:rsid w:val="004F58AB"/>
    <w:rsid w:val="004F6243"/>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ACA"/>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CB9"/>
    <w:rsid w:val="00541E2B"/>
    <w:rsid w:val="00543531"/>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6DE"/>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3"/>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4E"/>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A76"/>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C90"/>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07F1E"/>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2E7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8E3"/>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2FB"/>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07C"/>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69F2"/>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7BF"/>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362"/>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81E"/>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3FB9"/>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D8A"/>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4DDC"/>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2F5A"/>
    <w:rsid w:val="008733DB"/>
    <w:rsid w:val="008734E7"/>
    <w:rsid w:val="0087352A"/>
    <w:rsid w:val="00873AA8"/>
    <w:rsid w:val="00873B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6DF"/>
    <w:rsid w:val="00883D18"/>
    <w:rsid w:val="00883ED6"/>
    <w:rsid w:val="00883F8F"/>
    <w:rsid w:val="008841D5"/>
    <w:rsid w:val="00884255"/>
    <w:rsid w:val="0088425B"/>
    <w:rsid w:val="00885037"/>
    <w:rsid w:val="00885322"/>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7C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0D4"/>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065B"/>
    <w:rsid w:val="008C1325"/>
    <w:rsid w:val="008C1ABE"/>
    <w:rsid w:val="008C2426"/>
    <w:rsid w:val="008C2453"/>
    <w:rsid w:val="008C2572"/>
    <w:rsid w:val="008C265E"/>
    <w:rsid w:val="008C26B4"/>
    <w:rsid w:val="008C28BA"/>
    <w:rsid w:val="008C3240"/>
    <w:rsid w:val="008C34C3"/>
    <w:rsid w:val="008C35FE"/>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1D4"/>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5FF"/>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5F6C"/>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1755B"/>
    <w:rsid w:val="00920FE4"/>
    <w:rsid w:val="00921140"/>
    <w:rsid w:val="0092169A"/>
    <w:rsid w:val="009216BF"/>
    <w:rsid w:val="009218D2"/>
    <w:rsid w:val="009219A7"/>
    <w:rsid w:val="00921A74"/>
    <w:rsid w:val="00921AB3"/>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7A8"/>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2C4"/>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25DC"/>
    <w:rsid w:val="009B2ED0"/>
    <w:rsid w:val="009B3221"/>
    <w:rsid w:val="009B33F1"/>
    <w:rsid w:val="009B346F"/>
    <w:rsid w:val="009B3745"/>
    <w:rsid w:val="009B3C79"/>
    <w:rsid w:val="009B4821"/>
    <w:rsid w:val="009B4A83"/>
    <w:rsid w:val="009B4BED"/>
    <w:rsid w:val="009B4C24"/>
    <w:rsid w:val="009B545C"/>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5B6"/>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6CF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86A"/>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BB"/>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FAB"/>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629"/>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C72"/>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988"/>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569"/>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9C9"/>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35E"/>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35A"/>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0A7"/>
    <w:rsid w:val="00B5362A"/>
    <w:rsid w:val="00B53816"/>
    <w:rsid w:val="00B53EF5"/>
    <w:rsid w:val="00B54086"/>
    <w:rsid w:val="00B5428C"/>
    <w:rsid w:val="00B5475E"/>
    <w:rsid w:val="00B54989"/>
    <w:rsid w:val="00B54FA3"/>
    <w:rsid w:val="00B553CF"/>
    <w:rsid w:val="00B555B8"/>
    <w:rsid w:val="00B55ACA"/>
    <w:rsid w:val="00B5612F"/>
    <w:rsid w:val="00B563B3"/>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52"/>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5A6"/>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2B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363"/>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6D7"/>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B3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33E"/>
    <w:rsid w:val="00C0460F"/>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2A54"/>
    <w:rsid w:val="00C232DD"/>
    <w:rsid w:val="00C23989"/>
    <w:rsid w:val="00C2423A"/>
    <w:rsid w:val="00C24CA2"/>
    <w:rsid w:val="00C24EE5"/>
    <w:rsid w:val="00C24F74"/>
    <w:rsid w:val="00C250CF"/>
    <w:rsid w:val="00C2544D"/>
    <w:rsid w:val="00C25D3A"/>
    <w:rsid w:val="00C263AE"/>
    <w:rsid w:val="00C2660B"/>
    <w:rsid w:val="00C26871"/>
    <w:rsid w:val="00C2695A"/>
    <w:rsid w:val="00C26975"/>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1D63"/>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9DF"/>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00E"/>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A90"/>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6C0"/>
    <w:rsid w:val="00C95730"/>
    <w:rsid w:val="00C95962"/>
    <w:rsid w:val="00C95A8A"/>
    <w:rsid w:val="00C95CCD"/>
    <w:rsid w:val="00C95CD4"/>
    <w:rsid w:val="00C966DF"/>
    <w:rsid w:val="00C96A19"/>
    <w:rsid w:val="00C96A36"/>
    <w:rsid w:val="00C96FE0"/>
    <w:rsid w:val="00C973E2"/>
    <w:rsid w:val="00C975B2"/>
    <w:rsid w:val="00C97AF1"/>
    <w:rsid w:val="00CA09AA"/>
    <w:rsid w:val="00CA0BAF"/>
    <w:rsid w:val="00CA114D"/>
    <w:rsid w:val="00CA1225"/>
    <w:rsid w:val="00CA16DB"/>
    <w:rsid w:val="00CA17AD"/>
    <w:rsid w:val="00CA18D2"/>
    <w:rsid w:val="00CA2344"/>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7A9"/>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13F"/>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1BB"/>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435"/>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9B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2D31"/>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C01"/>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162"/>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39F"/>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171"/>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967"/>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2C"/>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000"/>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DF7"/>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6D9"/>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289"/>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57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78"/>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C04"/>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E96"/>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6D2"/>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428"/>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paragraph" w:customStyle="1" w:styleId="a2">
    <w:name w:val="样式 (中文) 宋体 两端对齐"/>
    <w:basedOn w:val="Normal"/>
    <w:rsid w:val="005B7B4E"/>
    <w:pPr>
      <w:spacing w:before="0" w:after="180"/>
      <w:jc w:val="both"/>
    </w:pPr>
    <w:rPr>
      <w:rFonts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157328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267763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1928596">
      <w:bodyDiv w:val="1"/>
      <w:marLeft w:val="0"/>
      <w:marRight w:val="0"/>
      <w:marTop w:val="0"/>
      <w:marBottom w:val="0"/>
      <w:divBdr>
        <w:top w:val="none" w:sz="0" w:space="0" w:color="auto"/>
        <w:left w:val="none" w:sz="0" w:space="0" w:color="auto"/>
        <w:bottom w:val="none" w:sz="0" w:space="0" w:color="auto"/>
        <w:right w:val="none" w:sz="0" w:space="0" w:color="auto"/>
      </w:divBdr>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5747160">
      <w:bodyDiv w:val="1"/>
      <w:marLeft w:val="0"/>
      <w:marRight w:val="0"/>
      <w:marTop w:val="0"/>
      <w:marBottom w:val="0"/>
      <w:divBdr>
        <w:top w:val="none" w:sz="0" w:space="0" w:color="auto"/>
        <w:left w:val="none" w:sz="0" w:space="0" w:color="auto"/>
        <w:bottom w:val="none" w:sz="0" w:space="0" w:color="auto"/>
        <w:right w:val="none" w:sz="0" w:space="0" w:color="auto"/>
      </w:divBdr>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077789">
      <w:bodyDiv w:val="1"/>
      <w:marLeft w:val="0"/>
      <w:marRight w:val="0"/>
      <w:marTop w:val="0"/>
      <w:marBottom w:val="0"/>
      <w:divBdr>
        <w:top w:val="none" w:sz="0" w:space="0" w:color="auto"/>
        <w:left w:val="none" w:sz="0" w:space="0" w:color="auto"/>
        <w:bottom w:val="none" w:sz="0" w:space="0" w:color="auto"/>
        <w:right w:val="none" w:sz="0" w:space="0" w:color="auto"/>
      </w:divBdr>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2068907">
      <w:bodyDiv w:val="1"/>
      <w:marLeft w:val="0"/>
      <w:marRight w:val="0"/>
      <w:marTop w:val="0"/>
      <w:marBottom w:val="0"/>
      <w:divBdr>
        <w:top w:val="none" w:sz="0" w:space="0" w:color="auto"/>
        <w:left w:val="none" w:sz="0" w:space="0" w:color="auto"/>
        <w:bottom w:val="none" w:sz="0" w:space="0" w:color="auto"/>
        <w:right w:val="none" w:sz="0" w:space="0" w:color="auto"/>
      </w:divBdr>
      <w:divsChild>
        <w:div w:id="380791460">
          <w:marLeft w:val="446"/>
          <w:marRight w:val="0"/>
          <w:marTop w:val="0"/>
          <w:marBottom w:val="0"/>
          <w:divBdr>
            <w:top w:val="none" w:sz="0" w:space="0" w:color="auto"/>
            <w:left w:val="none" w:sz="0" w:space="0" w:color="auto"/>
            <w:bottom w:val="none" w:sz="0" w:space="0" w:color="auto"/>
            <w:right w:val="none" w:sz="0" w:space="0" w:color="auto"/>
          </w:divBdr>
        </w:div>
        <w:div w:id="1856311213">
          <w:marLeft w:val="1166"/>
          <w:marRight w:val="0"/>
          <w:marTop w:val="0"/>
          <w:marBottom w:val="0"/>
          <w:divBdr>
            <w:top w:val="none" w:sz="0" w:space="0" w:color="auto"/>
            <w:left w:val="none" w:sz="0" w:space="0" w:color="auto"/>
            <w:bottom w:val="none" w:sz="0" w:space="0" w:color="auto"/>
            <w:right w:val="none" w:sz="0" w:space="0" w:color="auto"/>
          </w:divBdr>
        </w:div>
        <w:div w:id="1472821399">
          <w:marLeft w:val="1166"/>
          <w:marRight w:val="0"/>
          <w:marTop w:val="0"/>
          <w:marBottom w:val="0"/>
          <w:divBdr>
            <w:top w:val="none" w:sz="0" w:space="0" w:color="auto"/>
            <w:left w:val="none" w:sz="0" w:space="0" w:color="auto"/>
            <w:bottom w:val="none" w:sz="0" w:space="0" w:color="auto"/>
            <w:right w:val="none" w:sz="0" w:space="0" w:color="auto"/>
          </w:divBdr>
        </w:div>
        <w:div w:id="1204754127">
          <w:marLeft w:val="1886"/>
          <w:marRight w:val="0"/>
          <w:marTop w:val="0"/>
          <w:marBottom w:val="0"/>
          <w:divBdr>
            <w:top w:val="none" w:sz="0" w:space="0" w:color="auto"/>
            <w:left w:val="none" w:sz="0" w:space="0" w:color="auto"/>
            <w:bottom w:val="none" w:sz="0" w:space="0" w:color="auto"/>
            <w:right w:val="none" w:sz="0" w:space="0" w:color="auto"/>
          </w:divBdr>
        </w:div>
        <w:div w:id="88239769">
          <w:marLeft w:val="188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5E89567-D9A7-4AE9-8BD1-6C922623B261}">
  <ds:schemaRefs>
    <ds:schemaRef ds:uri="http://schemas.openxmlformats.org/officeDocument/2006/bibliography"/>
  </ds:schemaRefs>
</ds:datastoreItem>
</file>

<file path=customXml/itemProps5.xml><?xml version="1.0" encoding="utf-8"?>
<ds:datastoreItem xmlns:ds="http://schemas.openxmlformats.org/officeDocument/2006/customXml" ds:itemID="{89929173-4D51-4011-B263-0E957470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6910</TotalTime>
  <Pages>2</Pages>
  <Words>854</Words>
  <Characters>4658</Characters>
  <Application>Microsoft Office Word</Application>
  <DocSecurity>0</DocSecurity>
  <Lines>91</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233</cp:revision>
  <cp:lastPrinted>2016-03-30T01:01:00Z</cp:lastPrinted>
  <dcterms:created xsi:type="dcterms:W3CDTF">2018-06-18T21:04:00Z</dcterms:created>
  <dcterms:modified xsi:type="dcterms:W3CDTF">2019-05-03T16:52:00Z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daf4777f-0472-4755-8ad3-2891ac727584</vt:lpwstr>
  </property>
  <property fmtid="{D5CDD505-2E9C-101B-9397-08002B2CF9AE}" pid="4" name="CTP_TimeStamp">
    <vt:lpwstr>2019-05-03 16:52:02Z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